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480" w:lineRule="auto"/>
        <w:ind w:left="-600" w:right="-600" w:firstLine="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Соглашение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технической поддержке ПО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Версия № 1.0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Действует с «29» июля 2024 года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Настоящее Соглашение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 технической поддержке ПО (далее - «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3"/>
          <w:szCs w:val="23"/>
          <w:highlight w:val="white"/>
          <w:rtl w:val="0"/>
        </w:rPr>
        <w:t xml:space="preserve">Соглашение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») является дополнением к Партнерскому Договору (далее - «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3"/>
          <w:szCs w:val="23"/>
          <w:highlight w:val="white"/>
          <w:rtl w:val="0"/>
        </w:rPr>
        <w:t xml:space="preserve">Договор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»), который может быть заключен между Партнером и Обществом с ограниченной ответственностью «Ньюком Дистрибьюшн» (далее – «Компания») (совместно - «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3"/>
          <w:szCs w:val="23"/>
          <w:highlight w:val="white"/>
          <w:rtl w:val="0"/>
        </w:rPr>
        <w:t xml:space="preserve">Стороны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») в любой форме. В случае противоречия между Договором и Соглашением, условия Соглашения имеют преимущественную силу.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РЕГИСТРАЦИЯ ОБРАЩЕНИЙ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Первой линией технической поддержки является техническая поддержка Партнера. Вопросы, по которым обращения Пользователей обрабатываются первой линией технической поддержки, указаны в п.1.5. настоящего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Соглашения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Второй линией технической поддержки является техническая поддержка Компании. Вопросы, по которым обращения Пользователей обрабатываются второй линией технической поддержки Компании, указаны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в п 1.6. настоящего Соглашения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Техническая поддержка Партнера осуществляет первичный прием и регистрацию всех обращений Пользователей по вопросам функционирования ПО с присвоением обращениям регистрационного номера.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Партнер гарантирует и обеспечивает соблюдение установленным настоящим Соглашением порядка и сроков регистрации, обработки и передачи обращений Пользователей на вторую линию технической поддержки Компании. 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Перечень обращений, решаемый первой линией технической поддержки Партнера включает в себя всю информацию о статусе работы Оборудования и настройках, которые доступны Партнеру через Личный кабинет: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Проверка статуса работы Оборудования (в сети/не в сети), туннеля до сервера Партнера (работает/не работает), статуса работы серверных ресурсов Партнера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 ПО (активен/не активен).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Проверка уровней сигнала приема на Оборудовании.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Проверка наличия и работоспособности проводного WAN подключения на Оборудовании, настройка интерфейса.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Настройка перенаправления портов.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Включение/отключение DHCP.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Проверка скорости передачи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Выделенные IP.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Статус работы VPS “суммирующего сервера”.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Проверка наличия, подключенного по LAN периферийного оборудования Партнера (Пользователя) и наличия на нем трафика.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Настройка правил ограничения скорости предоставляемого доступа в интернет в зависимости от времени суток.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Настройка и статус работы VPN туннелей и маршрутизации.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Удаленная перезагрузка Оборудования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Прочие данные телеметрии и настроек, выводимые в Личном кабинете.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Консультирование по общим вопросам функционирования, возможностей применения, рекомендаций по стандартной установке и использованию Оборудования.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567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Перечень обращений, решаемый второй линией технической поддержки Компании: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Диагностика и консультирование Партнера в письменной или устной форме по настройке ПО для работы с программным обеспечением Партнера (Пользователя) (сторонним программным обеспечением). Несовместимость ПО со сторонним программным обеспечением Партнера (Пользователя) не является ошибкой или недостатком ПО. В случае обнаружения несовместимости ПО Компания по запросу Партнера вправе произвести диагностику несовместимости и если при диагностике выяснится, что проблема требует глубокий анализ и доработки, Компания осуществляет данный анализ и доработки на возмездной основе путем заключения дополнительного соглашения Сторонами.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Обновления ПО, связанные с исправлением ошибок и/или поддержанием работоспособности ПО, указанные обновления ПО входят в стоим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ость ПО по Договору, и осуществляются Компанией без предоставления отдельного экземпляра ПО.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Настройка доступов к ПО в Личном кабинете Партнера.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Решение вопросов, связанных с падением скорости передачи данных, не являющихся следствием низкого сигнала сети связи операторов подвижной радиотелефонной связи или неработоспособности / ограниченной работоспособности серверных ресурсов Партнера.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Поддержка Партнера при нестандартной настройке L2/L3 туннелей. При этом Партнер соглашается с тем, что скорость передачи данных с использованием туннелирования может быть значительно ниже и не соответствовать ожиданиям Партнера (Пользователя). Для эффективного использования туннелей L2/L3 рекомендуется обратиться во вторую линию службы поддержки, с целью получить актуальный перечень поддерживаемых туннелей и помощь в настройке туннелей.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Настройка, обеспечение работоспособности и функционирования аппаратных мощностей (VPS), предоставленных с целью использования пользователями ПО через удаленный доступ (в том числе, с целью тестирования, оптимизации и организации функционирования ПО).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287" w:hanging="36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Исправление ошибок в рамках существующих или новых версий ПО.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567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ПРИОРИТИЗАЦИЯ ОБРАЩЕНИЙ 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567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Стороны договорились использовать три приоритета обращений: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блокирующий - если наблюдается полная неработоспособность ПО;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критический - если наблюдается частичная кратковременная неработоспособность ПО;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базовый - обращения по иным вопросам, связанным с функционированием ПО, не попадающие под приоритет «блокирующий» и «критичный».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567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ОБРАБОТКА ОБРАЩЕНИЙ ПЕРВОЙ ЛИНИЕЙ ТЕХНИЧЕСКОЙ ПОДДЕРЖКИ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Партнер осуществляет обработку и решение обращений в соответствии с условиями настоящего Соглашения.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Если тип зарегистрированного Партнером обращения включен в перечень, указанный в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п.1.6. настоящего Соглашения, либо по результатам обработки Партнером обращение не решено силами первой линии технической поддержки в срок, установленный регламентами Партнер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, такое обращение передается Партнером для решения на вторую линию технической поддержки Компании. 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По всем иным обращениям, не указанным в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п.1.6. настоящего Соглашения, Компания вправе проводить исследование и приложить разумные усилия для решения таких обращений, но не гарантирует их успешного решения, равно как оставляет за собой право отказать в решении такого обращения, в том числе, но не ограничиваясь, в случаях, если обращение не связано с функционированием ПО, либо подразумевает под собой необходимость реализации нестандартной схемы функционирования и применения ПО для его решения.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 случае необходимости передачи обращения на вторую линию технической поддержки в соответствии с пп. 3.2 и 3.3 настоящего Соглашения, Партнер обязан собрать и передать Компании по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согласованным в соответствии с разделом 8 настоящего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Соглашения каналам связи максимально полную информацию по такому обращению, в том числе в обязательном порядке должны быть указаны:</w:t>
      </w:r>
    </w:p>
    <w:p w:rsidR="00000000" w:rsidDel="00000000" w:rsidP="00000000" w:rsidRDefault="00000000" w:rsidRPr="00000000" w14:paraId="0000002F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наименование, серийный номер и адрес Места установки Оборудования с установленным экземпляром ПО;</w:t>
      </w:r>
    </w:p>
    <w:p w:rsidR="00000000" w:rsidDel="00000000" w:rsidP="00000000" w:rsidRDefault="00000000" w:rsidRPr="00000000" w14:paraId="00000030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время получения и регистрации первой линией технической поддержки обращения;</w:t>
      </w:r>
    </w:p>
    <w:p w:rsidR="00000000" w:rsidDel="00000000" w:rsidP="00000000" w:rsidRDefault="00000000" w:rsidRPr="00000000" w14:paraId="00000031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полное описание проблемы, включая наблюдаемые параметры работы ПО;</w:t>
      </w:r>
    </w:p>
    <w:p w:rsidR="00000000" w:rsidDel="00000000" w:rsidP="00000000" w:rsidRDefault="00000000" w:rsidRPr="00000000" w14:paraId="00000032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используемые специфические требования по настройке сетевой инфраструктуры Партнера (Пользователя), если таковые имеются;</w:t>
      </w:r>
    </w:p>
    <w:p w:rsidR="00000000" w:rsidDel="00000000" w:rsidP="00000000" w:rsidRDefault="00000000" w:rsidRPr="00000000" w14:paraId="00000033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приоритет обращения, определенный в соответствии с разделом 2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Соглашения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34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перечень произведенных силами первой линией технической поддержки действий в целях решения обращения;</w:t>
      </w:r>
    </w:p>
    <w:p w:rsidR="00000000" w:rsidDel="00000000" w:rsidP="00000000" w:rsidRDefault="00000000" w:rsidRPr="00000000" w14:paraId="00000035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ФИО и контактные данные сотрудника Партнера, сопровождающего обращение Пользователя.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567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ОБРАБОТКА ОБРАЩЕНИЙ ВТОРОЙ ЛИНИЕЙ ТЕХНИЧЕСКОЙ ПОДДЕРЖКИ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Временем регистрации обращения второй линией технической поддержки считается время получения Компанией от Партнера в полном объеме обязательной информации по обращению в соответствии с п.3.4 настоящего Соглашения. В случае непредоставления/несвоевременного и/или неполного предоставления Партнером информации в соответствии с п.3.4. настоящего Соглашения, либо иной информации, необходимой для решения обращения согласно разделу 7 Соглашения, такое обращение не подлежит регистрации Компанией и не принимается Компанией для решения.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Время реагирования на обращение (начало работы с обращением второй линией технической поддержки и отправка первой линии технической поддержки информации о предварительном времени решения обращения), зависит от приоритета обращения: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440" w:hanging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Для обращений с приоритетом «блокирующий» - 2 (два) часа в рабочее время (с 8:00 до 21:59 по московскому времени с понедельника по пятницу и в иные рабочие дни в соответствии с законодательством РФ), 6 (шесть) часов в иное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440" w:hanging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Для обращений с приоритетом «критический» -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4 (четыре) часа в рабочее время (с 8:00 до 21:59 по московскому времени с понедельника по пятницу и в иные рабочие дни в соответствии с законодательством РФ), 8 (восемь) часов в иное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1440" w:hanging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Для обращений с приоритетом «базовый» - 8 (восемь) часов в рабочее время (с 8:00 до 21:59 по московскому времени с понедельника по пятницу и в иные рабочие дни в соответствии с законодательством РФ).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После регистрации обращения и в пределах установленного п.4.2. настоящего Соглашения времени реагирования Компания проводит анализ заявленной Пользователем неисправности, используя, в том числе по необходимости удаленное подключение к ПО; удаленное подключение к серверным ресурсам Партнера (если применимо); привлекая сотрудников Партнера, оказывающих услуги первой линии технической поддержки. В случае необходимости привлечения Компанией сотрудника Партнера, Партнер гарантирует и обеспечивает взаимодействие такого сотрудника с Компанией.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По результатам проведенного анализа заявленной неисправности в соответствии с п. 4.3. настоящего Соглашения Компания направляет Партнеру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по согласованным в соответствии с разделом 8 настоящего Соглашения каналам связи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уведомление о решении по обращению (обязательство Компании по оказанию услуги считается исполненным).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Если по результатам проведенного Компанией анализа заявленной неисправности установлено, что причиной обращения является неработоспособность/некорректная работа серверных ресурсов Партнера, обращение с результатами анализа и рекомендуемыми действиями возвращается Компанией в первую линию технической поддержки Партнера для его решения. 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 случае неоднократных (более пяти раз в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тчетный период) и умышленных нарушений со стороны Партнера порядка обработки обращений, в том числе немотивированная передача обращений на вторую линию технической поддержки, Компания вправе приостановить или отказаться от оказания услуг технической поддержки в порядке, установленном настоящим Соглашением без каких-либо штрафных санкций или изменения стоимости предоставляемого Сервиса и Услуг.</w:t>
      </w:r>
    </w:p>
    <w:p w:rsidR="00000000" w:rsidDel="00000000" w:rsidP="00000000" w:rsidRDefault="00000000" w:rsidRPr="00000000" w14:paraId="00000041">
      <w:pPr>
        <w:spacing w:before="24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ВРЕМЯ ПРОСТОЯ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Стороны договорились для обращения с приоритетом «блокирующий» временем простоя считать период с момента регистрации обращения второй линией технической поддержки в соответствии с п.4.1. настоящего Соглашения до момента решения и исчислять его в часах и минутах (например, 1 час 30 минут или 1 и 30/60 часа или 1,5 часа).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Стороны договорились не считать временем простоя:</w:t>
      </w:r>
    </w:p>
    <w:p w:rsidR="00000000" w:rsidDel="00000000" w:rsidP="00000000" w:rsidRDefault="00000000" w:rsidRPr="00000000" w14:paraId="00000045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время на регистрацию и реагирование на обращения с приоритетом «критический» и «базовый»;</w:t>
      </w:r>
    </w:p>
    <w:p w:rsidR="00000000" w:rsidDel="00000000" w:rsidP="00000000" w:rsidRDefault="00000000" w:rsidRPr="00000000" w14:paraId="00000046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время непредоставления/несвоевременного и/или неполного предоставления Партнером информации, необходимой для решения обращения согласно разделу 7 Соглашения;</w:t>
      </w:r>
    </w:p>
    <w:p w:rsidR="00000000" w:rsidDel="00000000" w:rsidP="00000000" w:rsidRDefault="00000000" w:rsidRPr="00000000" w14:paraId="00000047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сбои в сетях связи операторов подвижной радиотелефонной связи, сим-карты которых установлены в Оборудовании, а также подключенные в Оборудование сторонние операторы фиксированной связи, так как не являются неисправностью ПО;</w:t>
      </w:r>
    </w:p>
    <w:p w:rsidR="00000000" w:rsidDel="00000000" w:rsidP="00000000" w:rsidRDefault="00000000" w:rsidRPr="00000000" w14:paraId="00000048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время проведения Компанией ремонтных и/или профилактических работ;</w:t>
      </w:r>
    </w:p>
    <w:p w:rsidR="00000000" w:rsidDel="00000000" w:rsidP="00000000" w:rsidRDefault="00000000" w:rsidRPr="00000000" w14:paraId="00000049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несоответствие серверных ресурсов Партнера требованиям, указанным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Соглашении о требованиях к серверным ресурсам Партнера для корректной работы 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, в том числе их недоступность, ограниченная или полная неработоспособность;</w:t>
      </w:r>
    </w:p>
    <w:p w:rsidR="00000000" w:rsidDel="00000000" w:rsidP="00000000" w:rsidRDefault="00000000" w:rsidRPr="00000000" w14:paraId="0000004A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hanging="72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время доставки Оборудования на замену до Места установки.</w:t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Случаи неработоспособности ПО, вызванные виновными действиями/бездействиями Партнера (Пользователя), которые, в том числе включают в себя: нарушение требований к работе серверных ресурсов Партнера; направленное физическое воздействие, изменение в настройках сетевой инфраструктуры Партнера и т.д., не являются гарантийными, не подпадают под действие настоящего Соглашения и не являются временем простоя.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Компания вправе проводить ремонтные и профилактические работы, в связи с которыми предоставление ПО и/или Услуг могут быть приостановлены на срок, не превышающий 4-х (четырех) часов в течение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тчетного периода (месяца), при условии уведомления Партнера за 3 (три) рабочих дня до даты проведения таких работ.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Время простоя по каждому зафиксированному случаю неработоспособности, начиная с 00 часов 00 минут (по московскому времени) 1-го числа и заканчивая 23 часами 59 минутам (по московскому времени) последнего дня календарного месяца, суммируется для определения суммарного времени простоя, которое рассчитывается индивидуально для каждого экземпляра ПО.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567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ОПРЕДЕЛЕНИЯ УРОВНЯ УСЛУГИ</w:t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Компания обязуется обеспечить Партнеру такой уровень качества оказания услуги, при котором суммарное время простоя для каждого экземпляра ПО не может превышать 30 (тридцать) часов за прошедший Отчетный период.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567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ПРЕДОСТАВЛЕНИЕ ДОПОЛНИТЕЛЬНОЙ ИНФОРМАЦИИ И РЕСУРСОВ ДЛЯ УЛУЧШЕНИЯ РАБОТЫ ПО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Компания вправе запрашивать у Партнера информацию, необходимую для решения обращений, поступивших на вторую линию технической поддержки, а именно: особенности установки и эксплуатации Оборудования с установленным экземпляром ПО, подробное описание проблемы, результаты анализа ситуации специалистами Партнера, включая первую линию технической поддержки и специалистов, ответственных за работоспособность серверных ресурсов Партнера.  </w:t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Компания вправе предложить Партнеру для обработки обращения, переданного на вторую линию технической поддержки, организовать выезд специалистов Компании с целью решения обращения непосредственно на Месте установки. </w:t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 целью повышения уровня качества услуги технической поддержки Компания вправе не чаще одного раза в Отчетном периоде запрашивать у Партнера выгрузку статистики обращений по работе ПО, решенных силами первой линии службы поддержки. </w:t>
      </w:r>
    </w:p>
    <w:p w:rsidR="00000000" w:rsidDel="00000000" w:rsidP="00000000" w:rsidRDefault="00000000" w:rsidRPr="00000000" w14:paraId="0000005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Компания вправе предоставлять информацию и инструкцию по работе ПО, скрипты для решения наиболее частых обращений по работе ПО, информацию о функциональных возможностях Личного кабинета, а также провести обучение сотрудников первой линии технической поддержки Партнера.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567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КАНАЛЫ СВЯЗИ И КОНТАКТНЫЕ ДЛЯ ПЕРЕДАЧИ ОБРАЩЕНИЙ</w:t>
      </w:r>
    </w:p>
    <w:p w:rsidR="00000000" w:rsidDel="00000000" w:rsidP="00000000" w:rsidRDefault="00000000" w:rsidRPr="00000000" w14:paraId="0000005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Стороны назначают контактных лиц, по одному от каждой из Сторон для взаимодействия по вопросам качества услуги.</w:t>
      </w:r>
    </w:p>
    <w:p w:rsidR="00000000" w:rsidDel="00000000" w:rsidP="00000000" w:rsidRDefault="00000000" w:rsidRPr="00000000" w14:paraId="0000005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Информация о контактных лицах и перечень способов связи в соответствии с п. 8.1. настоящего Соглашения согласовываются и предоставляются Сторонами по указанным в Договоре адресам электронной почты.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ОПИСАНИЕ ПАРАМЕТРОВ ШТАТНОГО ФУНКЦИОНИРОВАНИЯ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ПО</w:t>
      </w:r>
    </w:p>
    <w:p w:rsidR="00000000" w:rsidDel="00000000" w:rsidP="00000000" w:rsidRDefault="00000000" w:rsidRPr="00000000" w14:paraId="0000005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Личный кабинет доступен при входе с российских IP адресов.</w:t>
      </w:r>
    </w:p>
    <w:p w:rsidR="00000000" w:rsidDel="00000000" w:rsidP="00000000" w:rsidRDefault="00000000" w:rsidRPr="00000000" w14:paraId="0000005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 Личном кабинете осуществляется авторизация по логину и паролю для активированных учетных записей.</w:t>
      </w:r>
    </w:p>
    <w:p w:rsidR="00000000" w:rsidDel="00000000" w:rsidP="00000000" w:rsidRDefault="00000000" w:rsidRPr="00000000" w14:paraId="0000005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Функционируют разделы Личного кабинета: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Страница со списком Оборудования.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Стран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ица настройки Оборудования.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Страница с информацией об объеме используемого трафика.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567" w:hanging="567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 Личном кабинете отображаются ключевые данные и работает ключевой функционал: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Статус Оборудования (в сети / не в сети).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Уровни силы приемов сигналов на Оборудовании.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Уровни качества приемов сигналов на Оборудовании.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Работает функционал измерения скорости speedtest.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Наличие и статус работы WAN подключения.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Включение/выключение DHCP.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Настройка подсети на LAN.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Информация об IP.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992" w:hanging="425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Удаленная перезагрузка активного Оборудования.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ourier New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decimal"/>
      <w:lvlText w:val="%1."/>
      <w:lvlJc w:val="left"/>
      <w:pPr>
        <w:ind w:left="468" w:hanging="468"/>
      </w:pPr>
      <w:rPr/>
    </w:lvl>
    <w:lvl w:ilvl="1">
      <w:start w:val="3"/>
      <w:numFmt w:val="decimal"/>
      <w:lvlText w:val="%1.%2."/>
      <w:lvlJc w:val="left"/>
      <w:pPr>
        <w:ind w:left="828" w:hanging="468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cs="Arial" w:eastAsia="Arial" w:hAnsi="Arial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/>
    </w:lvl>
    <w:lvl w:ilvl="4">
      <w:start w:val="1"/>
      <w:numFmt w:val="decimal"/>
      <w:lvlText w:val="%1.%2.%3.%4.%5."/>
      <w:lvlJc w:val="left"/>
      <w:pPr>
        <w:ind w:left="3348" w:hanging="1080"/>
      </w:pPr>
      <w:rPr/>
    </w:lvl>
    <w:lvl w:ilvl="5">
      <w:start w:val="1"/>
      <w:numFmt w:val="decimal"/>
      <w:lvlText w:val="%1.%2.%3.%4.%5.%6."/>
      <w:lvlJc w:val="left"/>
      <w:pPr>
        <w:ind w:left="3915" w:hanging="1080"/>
      </w:pPr>
      <w:rPr/>
    </w:lvl>
    <w:lvl w:ilvl="6">
      <w:start w:val="1"/>
      <w:numFmt w:val="decimal"/>
      <w:lvlText w:val="%1.%2.%3.%4.%5.%6.%7."/>
      <w:lvlJc w:val="left"/>
      <w:pPr>
        <w:ind w:left="4482" w:hanging="1080"/>
      </w:pPr>
      <w:rPr/>
    </w:lvl>
    <w:lvl w:ilvl="7">
      <w:start w:val="1"/>
      <w:numFmt w:val="decimal"/>
      <w:lvlText w:val="%1.%2.%3.%4.%5.%6.%7.%8."/>
      <w:lvlJc w:val="left"/>
      <w:pPr>
        <w:ind w:left="5409" w:hanging="1440"/>
      </w:pPr>
      <w:rPr/>
    </w:lvl>
    <w:lvl w:ilvl="8">
      <w:start w:val="1"/>
      <w:numFmt w:val="decimal"/>
      <w:lvlText w:val="%1.%2.%3.%4.%5.%6.%7.%8.%9."/>
      <w:lvlJc w:val="left"/>
      <w:pPr>
        <w:ind w:left="5976" w:hanging="144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974E69"/>
  </w:style>
  <w:style w:type="paragraph" w:styleId="1">
    <w:name w:val="heading 1"/>
    <w:basedOn w:val="a"/>
    <w:next w:val="a"/>
    <w:link w:val="10"/>
    <w:uiPriority w:val="9"/>
    <w:qFormat w:val="1"/>
    <w:rsid w:val="008A6B4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8A6B4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8A6B4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8A6B4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8A6B4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8A6B4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A6B4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A6B4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A6B4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8A6B4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8A6B4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8A6B4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8A6B4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8A6B4A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8A6B4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8A6B4A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8A6B4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8A6B4A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8A6B4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8A6B4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8A6B4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8A6B4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8A6B4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8A6B4A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8A6B4A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8A6B4A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8A6B4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8A6B4A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8A6B4A"/>
    <w:rPr>
      <w:b w:val="1"/>
      <w:bCs w:val="1"/>
      <w:smallCaps w:val="1"/>
      <w:color w:val="0f4761" w:themeColor="accent1" w:themeShade="0000BF"/>
      <w:spacing w:val="5"/>
    </w:rPr>
  </w:style>
  <w:style w:type="character" w:styleId="ac">
    <w:name w:val="Strong"/>
    <w:basedOn w:val="a0"/>
    <w:uiPriority w:val="22"/>
    <w:qFormat w:val="1"/>
    <w:rsid w:val="00974E69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bNMz/u/2fQuPE48G9lhYx3/mg==">CgMxLjAyCWguMzBqMHpsbDgAciExZ2U0OFFzNk02LWdjRTNnZk5ITk5fY0Y0SGY0dFZqd2Y=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2024-07-10T12:13:00Z</dcterms:created>
  <dc:creator>Виктор Заболотный</dc:creator>
</cp:coreProperties>
</file>