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Соглашение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 требованиях к серверным ресурсам Партнера для корректной работы ПО</w:t>
        <w:br w:type="textWrapping"/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Версия № 1.0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Действует с «29» июля 2024 года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Настоящее Соглашение о требованиях к серверным ресурсам Партнера для корректной работы ПО (далее -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Соглашение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») является дополнением к Партнерскому Договору (далее -«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Договор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»), который может быть заключен между Партнером и Обществом с ограниченной ответственностью «Ньюком Дистрибьюшн» (далее – «Компания») (совместно -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Стороны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  <w:rtl w:val="0"/>
        </w:rPr>
        <w:t xml:space="preserve">») в любой форме. В случае противоречия между Договором и Соглашением, условия Соглашения имеют преимущественную силу.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Под каждую единицу Оборудования Партнер предоставляет виртуальный частный сервер (далее 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VPS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), на который сотрудниками Компании удаленно устанавливается ПО. </w:t>
      </w:r>
    </w:p>
    <w:p w:rsidR="00000000" w:rsidDel="00000000" w:rsidP="00000000" w:rsidRDefault="00000000" w:rsidRPr="00000000" w14:paraId="00000008">
      <w:pPr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Требования к VPS и инфраструктуре для установки и корректного функционирования ПО на серверное оборудование: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Минимальные требования: 1 CPU, 1 GB RAM, 10 GB HDD.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Установлена операционная система Debian 10.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Используется один из 4-х гипервизоров - KVM, ESXi, Hyper-V или XEN.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Отсутствует NAT. Предоставляются выделенные IPv4 адреса из адресного пространства Партнера.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При необходимости получения «Белого статического IP адреса» на Оборудовании Партнер предоставляет Компании второй IP адрес.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Отсутствуют ограничения на использование туннелируемых протоколов (в том числе для корректной работы по GRE-протоколу).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Предоставленный канал для передачи данных с VPS в Интернет - не менее 100 мбит/с. и без учета объема передаваемого трафика.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Компании предоставлены необходимые учетные записи и настроены уровни доступов к VPS, на которых устанавливается ПО, позволяющие создавать/удалять/перезагружать виртуальные машины.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Компании предоставлены необходимые контакты технической поддержки Партнера для оперативного решения возникающих вопросов по использованию инфраструктуры Партнера.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Партнер гарантирует Компании доступ к серверным ресурсам и технической поддержке 24/7.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Предоставленные Партнером серверные мощности, на которых устанавливается ПО, а также используемые Партнером каналы связи для передачи данных с данных серверов в сеть Интернет соответствуют требованиям Федерального закона РФ от 07.07.2003 г. № 126-ФЗ «О связи» и Федерального закона РФ от 12.08.1995 г. № 144-ФЗ «Об оперативно-розыскной деятельности».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Параметры штатного функционирования сервера Партнера (VPS) (обеспечиваются Партнером):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Конфигурация серверных ресурсов Партнера соответствует требованиям, указанным в п.1 настоящего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Соглашения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 сервере Партнера установлена актуальная версия ПО.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 Личном кабинете статус сервера «Активный».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Загрузка оперативной памяти сервера Партнера (VPS) составляет менее 80%.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Жесткий диск серверного ресурса, выделенный Партнером под размещение Компанией Модуля ПО, занят менее чем на 90%.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7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Предоставленный канал (порт) для передачи данных с VPS в Интернет - не менее 100 мбит/с.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Мониторинг состояния и обеспечение доступности и работоспособности VPS находится в зоне ответственности Партнера. Партнер осведомлен, что в случае сбоев, недоступности, проведения плановых работ, вмешательства в программный код ПО, попытки изменения настроек, конфигураций, а также иных действий, приводящих к нарушению указанных в настоящем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Соглашении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требований для корректного функционирования ПО, влечет за собой частичную либо полную неработоспособность Сервиса. В таких случаях Компания не несет ответственности за работоспособность Сервиса и Оборудования.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В случае выявления описанных выше нарушений, возникших по вине Партнера, Компания по запросу Партнера вправе провести работы по восстановлению работоспособности Сервиса на возмездной основе по цене, отдельно согласованной Сторонами.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240" w:hanging="360"/>
      </w:pPr>
      <w:rPr/>
    </w:lvl>
    <w:lvl w:ilvl="2">
      <w:start w:val="1"/>
      <w:numFmt w:val="decimal"/>
      <w:lvlText w:val="%1.%2.%3."/>
      <w:lvlJc w:val="left"/>
      <w:pPr>
        <w:ind w:left="6480" w:hanging="720"/>
      </w:pPr>
      <w:rPr/>
    </w:lvl>
    <w:lvl w:ilvl="3">
      <w:start w:val="1"/>
      <w:numFmt w:val="decimal"/>
      <w:lvlText w:val="%1.%2.%3.%4."/>
      <w:lvlJc w:val="left"/>
      <w:pPr>
        <w:ind w:left="9360" w:hanging="720"/>
      </w:pPr>
      <w:rPr/>
    </w:lvl>
    <w:lvl w:ilvl="4">
      <w:start w:val="1"/>
      <w:numFmt w:val="decimal"/>
      <w:lvlText w:val="%1.%2.%3.%4.%5."/>
      <w:lvlJc w:val="left"/>
      <w:pPr>
        <w:ind w:left="12600" w:hanging="1080"/>
      </w:pPr>
      <w:rPr/>
    </w:lvl>
    <w:lvl w:ilvl="5">
      <w:start w:val="1"/>
      <w:numFmt w:val="decimal"/>
      <w:lvlText w:val="%1.%2.%3.%4.%5.%6."/>
      <w:lvlJc w:val="left"/>
      <w:pPr>
        <w:ind w:left="15480" w:hanging="1080"/>
      </w:pPr>
      <w:rPr/>
    </w:lvl>
    <w:lvl w:ilvl="6">
      <w:start w:val="1"/>
      <w:numFmt w:val="decimal"/>
      <w:lvlText w:val="%1.%2.%3.%4.%5.%6.%7."/>
      <w:lvlJc w:val="left"/>
      <w:pPr>
        <w:ind w:left="18360" w:hanging="1080"/>
      </w:pPr>
      <w:rPr/>
    </w:lvl>
    <w:lvl w:ilvl="7">
      <w:start w:val="1"/>
      <w:numFmt w:val="decimal"/>
      <w:lvlText w:val="%1.%2.%3.%4.%5.%6.%7.%8."/>
      <w:lvlJc w:val="left"/>
      <w:pPr>
        <w:ind w:left="21600" w:hanging="1440"/>
      </w:pPr>
      <w:rPr/>
    </w:lvl>
    <w:lvl w:ilvl="8">
      <w:start w:val="1"/>
      <w:numFmt w:val="decimal"/>
      <w:lvlText w:val="%1.%2.%3.%4.%5.%6.%7.%8.%9."/>
      <w:lvlJc w:val="left"/>
      <w:pPr>
        <w:ind w:left="2448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A15FAE"/>
  </w:style>
  <w:style w:type="paragraph" w:styleId="1">
    <w:name w:val="heading 1"/>
    <w:basedOn w:val="a"/>
    <w:next w:val="a"/>
    <w:link w:val="10"/>
    <w:uiPriority w:val="9"/>
    <w:qFormat w:val="1"/>
    <w:rsid w:val="008B410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8B410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8B410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8B410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8B410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8B410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8B410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8B410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8B410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8B410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8B410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8B410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8B410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8B4104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8B4104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8B4104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8B4104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8B4104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8B410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8B410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8B410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8B410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8B410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8B4104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8B4104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8B4104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8B410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8B4104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8B4104"/>
    <w:rPr>
      <w:b w:val="1"/>
      <w:bCs w:val="1"/>
      <w:smallCaps w:val="1"/>
      <w:color w:val="0f4761" w:themeColor="accent1" w:themeShade="0000BF"/>
      <w:spacing w:val="5"/>
    </w:rPr>
  </w:style>
  <w:style w:type="character" w:styleId="ac">
    <w:name w:val="Strong"/>
    <w:basedOn w:val="a0"/>
    <w:uiPriority w:val="22"/>
    <w:qFormat w:val="1"/>
    <w:rsid w:val="00A15FAE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nwXB861zQrR9Syyj3T5tYImoQ==">CgMxLjA4AHIhMXhqa1ZFaGlxSHVmQTlhcVNuT1dIY3JVQi14NzJwSERf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2024-07-10T12:17:00Z</dcterms:created>
  <dc:creator>Виктор Заболотный</dc:creator>
</cp:coreProperties>
</file>